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25BA" w14:textId="77777777" w:rsidR="00C249F5" w:rsidRDefault="00C249F5">
      <w:pPr>
        <w:rPr>
          <w:rFonts w:asciiTheme="majorHAnsi" w:hAnsiTheme="majorHAnsi" w:cs="MyriadPro-Black"/>
          <w:caps/>
          <w:sz w:val="40"/>
          <w:szCs w:val="60"/>
        </w:rPr>
      </w:pPr>
    </w:p>
    <w:p w14:paraId="2A121582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CFD3E7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4A00F6D2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209AF1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B0F75">
        <w:rPr>
          <w:rFonts w:ascii="Cambria" w:hAnsi="Cambria" w:cs="MyriadPro-Black"/>
          <w:caps/>
          <w:sz w:val="60"/>
          <w:szCs w:val="60"/>
        </w:rPr>
        <w:t>I</w:t>
      </w:r>
      <w:r w:rsidR="00DD4813">
        <w:rPr>
          <w:rFonts w:ascii="Cambria" w:hAnsi="Cambria" w:cs="MyriadPro-Black"/>
          <w:caps/>
          <w:sz w:val="60"/>
          <w:szCs w:val="60"/>
        </w:rPr>
        <w:t>PRÚ</w:t>
      </w:r>
    </w:p>
    <w:p w14:paraId="688E7578" w14:textId="77777777" w:rsidR="00535558" w:rsidRDefault="00535558"/>
    <w:p w14:paraId="3C3D6951" w14:textId="77777777" w:rsidR="00535558" w:rsidRDefault="00535558"/>
    <w:p w14:paraId="1AFE1169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1FEE997A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343BB">
        <w:rPr>
          <w:rFonts w:cs="MyriadPro-Black"/>
          <w:caps/>
          <w:color w:val="A6A6A6"/>
          <w:sz w:val="40"/>
          <w:szCs w:val="40"/>
        </w:rPr>
        <w:t>51</w:t>
      </w:r>
    </w:p>
    <w:p w14:paraId="1F8296DE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6FE2894E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9343BB">
        <w:rPr>
          <w:rFonts w:ascii="Cambria" w:hAnsi="Cambria" w:cs="MyriadPro-Black"/>
          <w:caps/>
          <w:sz w:val="40"/>
          <w:szCs w:val="40"/>
        </w:rPr>
        <w:t xml:space="preserve"> </w:t>
      </w:r>
      <w:r w:rsidR="009343BB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0BA5A3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822D028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1A987DE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721D11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75E5916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98C67A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A713029" w14:textId="260866C8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C668CF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96222F">
        <w:rPr>
          <w:rFonts w:cs="MyriadPro-Black"/>
          <w:caps/>
          <w:color w:val="A6A6A6"/>
          <w:sz w:val="32"/>
          <w:szCs w:val="40"/>
        </w:rPr>
        <w:t>15. 2. 201</w:t>
      </w:r>
      <w:r w:rsidR="00B31C62">
        <w:rPr>
          <w:rFonts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14:paraId="23515B1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320D5D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DB8EB22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3A0B7034" w14:textId="77777777" w:rsidTr="00BF1E2E">
        <w:tc>
          <w:tcPr>
            <w:tcW w:w="1979" w:type="pct"/>
            <w:shd w:val="clear" w:color="auto" w:fill="auto"/>
          </w:tcPr>
          <w:p w14:paraId="5A213026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4641068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47A387DC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679FEC92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7D437B3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 nebo předávacího protokolu, doložit objednávku nebo dodací list;</w:t>
            </w:r>
          </w:p>
          <w:p w14:paraId="20DB1FE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163FE32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o dílo (včetně položkového rozpočtu stavby nebo části stavby);</w:t>
            </w:r>
          </w:p>
          <w:p w14:paraId="441B81C1" w14:textId="77777777" w:rsidR="00EC2580" w:rsidRPr="00C668CF" w:rsidRDefault="00EC2580" w:rsidP="00DB6852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C668CF">
              <w:rPr>
                <w:sz w:val="22"/>
                <w:szCs w:val="22"/>
              </w:rPr>
              <w:t>soubor čerpání odpovídající výdajům v dané žádosti o platbu ve struktuře položkového rozpočtu stavby v odpovídajícím elektronickém formátu;</w:t>
            </w:r>
          </w:p>
          <w:p w14:paraId="6E4DAECA" w14:textId="77777777" w:rsidR="00BE3CFD" w:rsidRPr="00C668CF" w:rsidRDefault="00BE3CFD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353767E1" w14:textId="77777777" w:rsidR="00BE3CFD" w:rsidRPr="00C668CF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kolaudační souhlas;</w:t>
            </w:r>
          </w:p>
          <w:p w14:paraId="2998FD2E" w14:textId="77777777" w:rsidR="00BE3CFD" w:rsidRPr="00C668CF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rozhodnutí o povolení k předčasnému užívání stavby;</w:t>
            </w:r>
          </w:p>
          <w:p w14:paraId="6D358A67" w14:textId="77777777" w:rsidR="007F7772" w:rsidRPr="00C668CF" w:rsidRDefault="00BE3CFD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rozhodnutí o povolení zkušebního provozu před vydáním</w:t>
            </w:r>
            <w:r w:rsidR="00BB7278" w:rsidRPr="00C668CF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C249F5"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2B18ACE7" w14:textId="77777777" w:rsidTr="00BF1E2E">
        <w:tc>
          <w:tcPr>
            <w:tcW w:w="1979" w:type="pct"/>
            <w:shd w:val="clear" w:color="auto" w:fill="auto"/>
          </w:tcPr>
          <w:p w14:paraId="63DC4C3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1563AA5A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B8AFB2A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DD24424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68CD04D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31FEECA" w14:textId="77777777" w:rsidR="007F7772" w:rsidRPr="00C668CF" w:rsidRDefault="007F7772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(o dílo nebo kupní smlouva).</w:t>
            </w:r>
          </w:p>
        </w:tc>
      </w:tr>
      <w:tr w:rsidR="007F7772" w:rsidRPr="00C537AE" w14:paraId="6630F036" w14:textId="77777777" w:rsidTr="00BF1E2E">
        <w:tc>
          <w:tcPr>
            <w:tcW w:w="1979" w:type="pct"/>
            <w:shd w:val="clear" w:color="auto" w:fill="auto"/>
          </w:tcPr>
          <w:p w14:paraId="6CADD496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3C160F2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CB117D5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0EBF9C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77DA385B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B0FEF0" w14:textId="77777777" w:rsidR="007F7772" w:rsidRPr="00C668CF" w:rsidRDefault="007F7772" w:rsidP="005E25F0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smlouva.</w:t>
            </w:r>
          </w:p>
        </w:tc>
      </w:tr>
      <w:tr w:rsidR="00C21110" w:rsidRPr="00C668CF" w14:paraId="18A03F51" w14:textId="77777777" w:rsidTr="00BF1E2E">
        <w:tc>
          <w:tcPr>
            <w:tcW w:w="1979" w:type="pct"/>
            <w:shd w:val="clear" w:color="auto" w:fill="auto"/>
          </w:tcPr>
          <w:p w14:paraId="7E7C3C34" w14:textId="77777777" w:rsidR="00C21110" w:rsidRPr="00C668CF" w:rsidRDefault="00C21110" w:rsidP="005E25F0">
            <w:pPr>
              <w:tabs>
                <w:tab w:val="left" w:pos="4050"/>
              </w:tabs>
              <w:spacing w:after="120"/>
              <w:rPr>
                <w:rFonts w:asciiTheme="majorHAnsi" w:hAnsiTheme="majorHAnsi" w:cs="Arial"/>
                <w:b/>
              </w:rPr>
            </w:pPr>
            <w:r w:rsidRPr="00C668CF">
              <w:rPr>
                <w:rFonts w:asciiTheme="majorHAnsi" w:hAnsiTheme="majorHAnsi" w:cs="Arial"/>
                <w:b/>
              </w:rPr>
              <w:t xml:space="preserve">Nákup pozemků </w:t>
            </w:r>
          </w:p>
          <w:p w14:paraId="7F1E8901" w14:textId="77777777" w:rsidR="00C21110" w:rsidRPr="00C668CF" w:rsidRDefault="00C21110" w:rsidP="005E25F0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lastRenderedPageBreak/>
              <w:t xml:space="preserve">do 10 % celkových způsobilých výdajů projektu; </w:t>
            </w:r>
          </w:p>
          <w:p w14:paraId="517ADDC7" w14:textId="77777777" w:rsidR="00C21110" w:rsidRPr="00C668CF" w:rsidRDefault="00C21110" w:rsidP="005E25F0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rPr>
                <w:rFonts w:asciiTheme="majorHAnsi" w:hAnsiTheme="majorHAnsi" w:cs="Arial"/>
              </w:rPr>
            </w:pPr>
            <w:r w:rsidRPr="00C668CF">
              <w:rPr>
                <w:rFonts w:asciiTheme="majorHAnsi" w:hAnsiTheme="majorHAnsi"/>
              </w:rPr>
              <w:t>pořizovací cena max. do výše ceny zjištěné znaleckým posudkem.</w:t>
            </w:r>
          </w:p>
          <w:p w14:paraId="719B0337" w14:textId="77777777" w:rsidR="00C21110" w:rsidRPr="00C668CF" w:rsidRDefault="00C21110" w:rsidP="005E25F0">
            <w:pPr>
              <w:ind w:left="720"/>
              <w:rPr>
                <w:rFonts w:asciiTheme="majorHAnsi" w:hAnsiTheme="majorHAnsi"/>
              </w:rPr>
            </w:pPr>
          </w:p>
          <w:p w14:paraId="62D752B5" w14:textId="77777777" w:rsidR="00C21110" w:rsidRPr="00C668CF" w:rsidRDefault="00C21110" w:rsidP="005E25F0">
            <w:pPr>
              <w:spacing w:after="120"/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  <w:b/>
              </w:rPr>
              <w:t>Nákup staveb</w:t>
            </w:r>
          </w:p>
          <w:p w14:paraId="798CE229" w14:textId="77777777" w:rsidR="00C21110" w:rsidRPr="00C668CF" w:rsidRDefault="00C21110" w:rsidP="00971DF5">
            <w:pPr>
              <w:pStyle w:val="Odstavecseseznamem"/>
              <w:numPr>
                <w:ilvl w:val="0"/>
                <w:numId w:val="10"/>
              </w:numPr>
              <w:ind w:left="284" w:hanging="284"/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2CCD3B21" w14:textId="77777777" w:rsidR="00C21110" w:rsidRPr="00C668CF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lastRenderedPageBreak/>
              <w:t>doklad o zaplacení;</w:t>
            </w:r>
          </w:p>
          <w:p w14:paraId="58621AC2" w14:textId="77777777" w:rsidR="00C21110" w:rsidRPr="00C668CF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lastRenderedPageBreak/>
              <w:t xml:space="preserve">kupní smlouva; </w:t>
            </w:r>
          </w:p>
          <w:p w14:paraId="46A9600A" w14:textId="77777777" w:rsidR="00C21110" w:rsidRPr="00C668CF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t>znalecký posudek ne starší 6 měsíců před datem pořízení nemovitosti;</w:t>
            </w:r>
          </w:p>
          <w:p w14:paraId="6AD6381F" w14:textId="77777777" w:rsidR="00971DF5" w:rsidRPr="00C668CF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 w:rsidR="00971DF5" w:rsidRPr="00C668CF">
              <w:rPr>
                <w:rFonts w:asciiTheme="majorHAnsi" w:hAnsiTheme="majorHAnsi"/>
              </w:rPr>
              <w:t>;</w:t>
            </w:r>
          </w:p>
          <w:p w14:paraId="3733EAF5" w14:textId="77777777" w:rsidR="00971DF5" w:rsidRPr="00C668CF" w:rsidRDefault="00971DF5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t>pravomocné rozhodnutí o vyvlastnění;</w:t>
            </w:r>
          </w:p>
          <w:p w14:paraId="5DC98FD8" w14:textId="77777777" w:rsidR="00C21110" w:rsidRPr="00C668CF" w:rsidRDefault="00971DF5" w:rsidP="00971DF5">
            <w:pPr>
              <w:ind w:left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t>rozhodnutí o odvodech za odnětí půdy ze zemědělského půdního fondu, rozhodnutí o odnětí pozemku plnění funkce lesa.</w:t>
            </w:r>
          </w:p>
        </w:tc>
      </w:tr>
      <w:tr w:rsidR="007F7772" w:rsidRPr="00C668CF" w14:paraId="644A765A" w14:textId="77777777" w:rsidTr="00BF1E2E">
        <w:tc>
          <w:tcPr>
            <w:tcW w:w="1979" w:type="pct"/>
            <w:shd w:val="clear" w:color="auto" w:fill="auto"/>
          </w:tcPr>
          <w:p w14:paraId="56A9C4D7" w14:textId="77777777" w:rsidR="007F7772" w:rsidRPr="00C668CF" w:rsidRDefault="007F7772" w:rsidP="00BF1E2E">
            <w:pPr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49F151B5" w14:textId="77777777" w:rsidR="007F7772" w:rsidRPr="00C668CF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49D8724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FA512B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ACBD92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56DC34" w14:textId="77777777" w:rsidR="007F7772" w:rsidRPr="00C668CF" w:rsidRDefault="007F7772" w:rsidP="00971D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smlouva.</w:t>
            </w:r>
          </w:p>
        </w:tc>
      </w:tr>
      <w:tr w:rsidR="007F7772" w:rsidRPr="00C537AE" w14:paraId="31A9FCD1" w14:textId="77777777" w:rsidTr="00BF1E2E">
        <w:tc>
          <w:tcPr>
            <w:tcW w:w="1979" w:type="pct"/>
            <w:shd w:val="clear" w:color="auto" w:fill="auto"/>
          </w:tcPr>
          <w:p w14:paraId="17AB5522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22EDA530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11E6DFE2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6127927A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62B470F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551E424" w14:textId="77777777" w:rsidR="007F7772" w:rsidRPr="00C668CF" w:rsidRDefault="007F7772" w:rsidP="00971DF5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smlouva.</w:t>
            </w:r>
          </w:p>
        </w:tc>
      </w:tr>
      <w:tr w:rsidR="007F7772" w:rsidRPr="00C537AE" w14:paraId="77FB63A0" w14:textId="77777777" w:rsidTr="00BF1E2E">
        <w:tc>
          <w:tcPr>
            <w:tcW w:w="1979" w:type="pct"/>
            <w:shd w:val="clear" w:color="auto" w:fill="auto"/>
          </w:tcPr>
          <w:p w14:paraId="61549931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585E0A5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7C07C65F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1521FB3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5696F32A" w14:textId="77777777" w:rsidR="007F7772" w:rsidRPr="00C668CF" w:rsidRDefault="007F7772" w:rsidP="00971DF5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7F7772" w:rsidRPr="00341080" w14:paraId="781AA438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29FB5F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1F9D23EF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A78590C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</w:t>
            </w:r>
            <w:r w:rsidRPr="00341080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výdaje); </w:t>
            </w:r>
          </w:p>
          <w:p w14:paraId="25FD0E4F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6EDF98C2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1AE90A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  <w:p w14:paraId="706ADF4D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056F6E" w14:textId="77777777"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1E909C84" w14:textId="77777777"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2CD1275B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2F44E5A" w14:textId="77777777" w:rsidR="00535558" w:rsidRDefault="00535558" w:rsidP="00535558">
      <w:pPr>
        <w:rPr>
          <w:b/>
        </w:rPr>
      </w:pPr>
    </w:p>
    <w:p w14:paraId="416EA08C" w14:textId="77777777" w:rsidR="00535558" w:rsidRDefault="00535558"/>
    <w:sectPr w:rsidR="00535558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7F0FA" w14:textId="77777777" w:rsidR="00670D17" w:rsidRDefault="00670D17" w:rsidP="00535558">
      <w:pPr>
        <w:spacing w:after="0"/>
      </w:pPr>
      <w:r>
        <w:separator/>
      </w:r>
    </w:p>
  </w:endnote>
  <w:endnote w:type="continuationSeparator" w:id="0">
    <w:p w14:paraId="7CFF6E1E" w14:textId="77777777" w:rsidR="00670D17" w:rsidRDefault="00670D17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DB1EF" w14:textId="77777777" w:rsidR="00670D17" w:rsidRDefault="00670D17" w:rsidP="00535558">
      <w:pPr>
        <w:spacing w:after="0"/>
      </w:pPr>
      <w:r>
        <w:separator/>
      </w:r>
    </w:p>
  </w:footnote>
  <w:footnote w:type="continuationSeparator" w:id="0">
    <w:p w14:paraId="4654408C" w14:textId="77777777" w:rsidR="00670D17" w:rsidRDefault="00670D17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4D8C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2BC6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5F5C5EEB" wp14:editId="75B2397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35B70"/>
    <w:multiLevelType w:val="hybridMultilevel"/>
    <w:tmpl w:val="09A0C0CA"/>
    <w:lvl w:ilvl="0" w:tplc="04050001">
      <w:start w:val="1"/>
      <w:numFmt w:val="bullet"/>
      <w:lvlText w:val=""/>
      <w:lvlJc w:val="left"/>
      <w:pPr>
        <w:ind w:left="-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3"/>
  </w:num>
  <w:num w:numId="12">
    <w:abstractNumId w:val="17"/>
  </w:num>
  <w:num w:numId="13">
    <w:abstractNumId w:val="13"/>
  </w:num>
  <w:num w:numId="14">
    <w:abstractNumId w:val="10"/>
  </w:num>
  <w:num w:numId="15">
    <w:abstractNumId w:val="12"/>
  </w:num>
  <w:num w:numId="16">
    <w:abstractNumId w:val="2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3527B1"/>
    <w:rsid w:val="00356A37"/>
    <w:rsid w:val="004C26F8"/>
    <w:rsid w:val="004D4EBA"/>
    <w:rsid w:val="00535558"/>
    <w:rsid w:val="005965E3"/>
    <w:rsid w:val="005E25F0"/>
    <w:rsid w:val="006474E0"/>
    <w:rsid w:val="00670D17"/>
    <w:rsid w:val="00674045"/>
    <w:rsid w:val="007A5EFE"/>
    <w:rsid w:val="007F7772"/>
    <w:rsid w:val="00830A33"/>
    <w:rsid w:val="00831A7B"/>
    <w:rsid w:val="00856C45"/>
    <w:rsid w:val="00926F5C"/>
    <w:rsid w:val="009343BB"/>
    <w:rsid w:val="0096222F"/>
    <w:rsid w:val="00971DF5"/>
    <w:rsid w:val="00A954D7"/>
    <w:rsid w:val="00AB5959"/>
    <w:rsid w:val="00B31C62"/>
    <w:rsid w:val="00B51B28"/>
    <w:rsid w:val="00B764B7"/>
    <w:rsid w:val="00BB7278"/>
    <w:rsid w:val="00BE3CFD"/>
    <w:rsid w:val="00BF1E09"/>
    <w:rsid w:val="00C21110"/>
    <w:rsid w:val="00C24704"/>
    <w:rsid w:val="00C249F5"/>
    <w:rsid w:val="00C668CF"/>
    <w:rsid w:val="00CB0F75"/>
    <w:rsid w:val="00DB6852"/>
    <w:rsid w:val="00DD4813"/>
    <w:rsid w:val="00E304C9"/>
    <w:rsid w:val="00EA4235"/>
    <w:rsid w:val="00EC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3A35901"/>
  <w15:docId w15:val="{D23061E5-80B5-4A82-923E-68F47A35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EAE42-9859-40D6-83E3-A57ABA45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576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Soňa Habová</cp:lastModifiedBy>
  <cp:revision>16</cp:revision>
  <cp:lastPrinted>2016-05-30T10:12:00Z</cp:lastPrinted>
  <dcterms:created xsi:type="dcterms:W3CDTF">2016-07-24T23:05:00Z</dcterms:created>
  <dcterms:modified xsi:type="dcterms:W3CDTF">2018-02-15T08:22:00Z</dcterms:modified>
</cp:coreProperties>
</file>